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2075" w14:textId="57640CC4" w:rsidR="005B614B" w:rsidRDefault="009D18B9" w:rsidP="00706111">
      <w:pPr>
        <w:pStyle w:val="Kopfzeile"/>
        <w:jc w:val="right"/>
        <w:rPr>
          <w:rFonts w:ascii="President" w:hAnsi="President"/>
          <w:spacing w:val="-2"/>
          <w:sz w:val="19"/>
          <w:szCs w:val="19"/>
        </w:rPr>
      </w:pPr>
      <w:r>
        <w:rPr>
          <w:rFonts w:ascii="President" w:hAnsi="President"/>
          <w:noProof/>
          <w:spacing w:val="-2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5BA3F7FA" wp14:editId="75271027">
            <wp:simplePos x="0" y="0"/>
            <wp:positionH relativeFrom="column">
              <wp:posOffset>4958080</wp:posOffset>
            </wp:positionH>
            <wp:positionV relativeFrom="paragraph">
              <wp:posOffset>-497205</wp:posOffset>
            </wp:positionV>
            <wp:extent cx="915035" cy="1001395"/>
            <wp:effectExtent l="0" t="0" r="0" b="825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esident" w:hAnsi="President"/>
          <w:noProof/>
          <w:spacing w:val="-2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1F61C937" wp14:editId="497B2DA1">
            <wp:simplePos x="0" y="0"/>
            <wp:positionH relativeFrom="column">
              <wp:posOffset>-61595</wp:posOffset>
            </wp:positionH>
            <wp:positionV relativeFrom="paragraph">
              <wp:posOffset>-192405</wp:posOffset>
            </wp:positionV>
            <wp:extent cx="1541780" cy="567887"/>
            <wp:effectExtent l="0" t="0" r="127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6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20DCE" w14:textId="3D30088F" w:rsidR="005B614B" w:rsidRDefault="005B614B" w:rsidP="00706111">
      <w:pPr>
        <w:pStyle w:val="Kopfzeile"/>
        <w:jc w:val="right"/>
        <w:rPr>
          <w:rFonts w:ascii="President" w:hAnsi="President"/>
          <w:spacing w:val="-2"/>
          <w:sz w:val="19"/>
          <w:szCs w:val="19"/>
        </w:rPr>
      </w:pPr>
    </w:p>
    <w:p w14:paraId="1184BBC3" w14:textId="0784B08E" w:rsidR="00706111" w:rsidRPr="00ED4196" w:rsidRDefault="00706111" w:rsidP="00706111">
      <w:pPr>
        <w:pStyle w:val="Kopfzeile"/>
        <w:jc w:val="right"/>
        <w:rPr>
          <w:rFonts w:ascii="President" w:hAnsi="President"/>
          <w:spacing w:val="-2"/>
          <w:sz w:val="19"/>
          <w:szCs w:val="19"/>
        </w:rPr>
      </w:pPr>
    </w:p>
    <w:p w14:paraId="56903C50" w14:textId="616CF1E9" w:rsidR="005B614B" w:rsidRDefault="005B614B" w:rsidP="005B614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260554" w14:textId="65A719A8" w:rsidR="005B614B" w:rsidRPr="00ED4196" w:rsidRDefault="00D20326" w:rsidP="005B61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196">
        <w:rPr>
          <w:rFonts w:asciiTheme="minorHAnsi" w:hAnsiTheme="minorHAnsi" w:cstheme="minorHAnsi"/>
          <w:b/>
          <w:sz w:val="28"/>
          <w:szCs w:val="28"/>
        </w:rPr>
        <w:t>ANKÜNDIGUNG - Neues Ziel für Metallverpackungen:</w:t>
      </w:r>
    </w:p>
    <w:p w14:paraId="43E974F7" w14:textId="77777777" w:rsidR="00D20326" w:rsidRPr="00ED4196" w:rsidRDefault="00D20326" w:rsidP="00D2032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D4196">
        <w:rPr>
          <w:rFonts w:asciiTheme="minorHAnsi" w:hAnsiTheme="minorHAnsi" w:cstheme="minorHAnsi"/>
          <w:b/>
          <w:sz w:val="28"/>
          <w:szCs w:val="28"/>
          <w:u w:val="single"/>
        </w:rPr>
        <w:t>GELBE TONNE und GELBER SACK</w:t>
      </w:r>
    </w:p>
    <w:p w14:paraId="6E38F727" w14:textId="2440C482" w:rsidR="00D20326" w:rsidRPr="00ED4196" w:rsidRDefault="00D20326" w:rsidP="00D20326">
      <w:pPr>
        <w:jc w:val="both"/>
        <w:rPr>
          <w:rFonts w:asciiTheme="minorHAnsi" w:hAnsiTheme="minorHAnsi" w:cstheme="minorHAnsi"/>
          <w:b/>
        </w:rPr>
      </w:pPr>
    </w:p>
    <w:p w14:paraId="1A6E81B1" w14:textId="59ABFA25" w:rsidR="00D20326" w:rsidRPr="00ED4196" w:rsidRDefault="004E1F94" w:rsidP="00D203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Mit 01.</w:t>
      </w:r>
      <w:r w:rsidR="00D20326" w:rsidRPr="00ED4196">
        <w:rPr>
          <w:rFonts w:asciiTheme="minorHAnsi" w:hAnsiTheme="minorHAnsi" w:cstheme="minorHAnsi"/>
          <w:b/>
        </w:rPr>
        <w:t xml:space="preserve"> Jänner 2023 wird die Sammlung von METALLVERPACKUNGEN in</w:t>
      </w:r>
      <w:r>
        <w:rPr>
          <w:rFonts w:asciiTheme="minorHAnsi" w:hAnsiTheme="minorHAnsi" w:cstheme="minorHAnsi"/>
          <w:b/>
        </w:rPr>
        <w:t xml:space="preserve"> der</w:t>
      </w:r>
      <w:r w:rsidR="00BC3956">
        <w:rPr>
          <w:rFonts w:asciiTheme="minorHAnsi" w:hAnsiTheme="minorHAnsi" w:cstheme="minorHAnsi"/>
          <w:b/>
        </w:rPr>
        <w:t xml:space="preserve"> Marktgemeinde Taxenbach </w:t>
      </w:r>
      <w:r w:rsidR="00D20326" w:rsidRPr="00ED4196">
        <w:rPr>
          <w:rFonts w:asciiTheme="minorHAnsi" w:hAnsiTheme="minorHAnsi" w:cstheme="minorHAnsi"/>
          <w:b/>
        </w:rPr>
        <w:t xml:space="preserve">umgestellt. Metallverpackungen werden in Zukunft GEMEINSAM mit Leichtverpackungen in der GELBEN TONNE bzw. im GELBEN SACK gesammelt. </w:t>
      </w:r>
      <w:r w:rsidR="00D01DF9" w:rsidRPr="00ED4196">
        <w:rPr>
          <w:rFonts w:asciiTheme="minorHAnsi" w:hAnsiTheme="minorHAnsi" w:cstheme="minorHAnsi"/>
          <w:b/>
        </w:rPr>
        <w:t xml:space="preserve">Alle Behälter für </w:t>
      </w:r>
      <w:r w:rsidR="00D01DF9" w:rsidRPr="009D18B9">
        <w:rPr>
          <w:rFonts w:asciiTheme="minorHAnsi" w:hAnsiTheme="minorHAnsi" w:cstheme="minorHAnsi"/>
          <w:b/>
        </w:rPr>
        <w:t xml:space="preserve">Metallverpackungen werden </w:t>
      </w:r>
      <w:r w:rsidR="00D01DF9">
        <w:rPr>
          <w:rFonts w:asciiTheme="minorHAnsi" w:hAnsiTheme="minorHAnsi" w:cstheme="minorHAnsi"/>
          <w:b/>
        </w:rPr>
        <w:t xml:space="preserve">bis </w:t>
      </w:r>
      <w:r w:rsidR="005C3E9E">
        <w:rPr>
          <w:rFonts w:asciiTheme="minorHAnsi" w:hAnsiTheme="minorHAnsi" w:cstheme="minorHAnsi"/>
          <w:b/>
        </w:rPr>
        <w:t xml:space="preserve">spätestens </w:t>
      </w:r>
      <w:r w:rsidR="00D01DF9">
        <w:rPr>
          <w:rFonts w:asciiTheme="minorHAnsi" w:hAnsiTheme="minorHAnsi" w:cstheme="minorHAnsi"/>
          <w:b/>
        </w:rPr>
        <w:t xml:space="preserve">Ende Jänner 2023 von den öffentlichen Sammelstellen </w:t>
      </w:r>
      <w:r w:rsidR="00D01DF9" w:rsidRPr="009D18B9">
        <w:rPr>
          <w:rFonts w:asciiTheme="minorHAnsi" w:hAnsiTheme="minorHAnsi" w:cstheme="minorHAnsi"/>
          <w:b/>
        </w:rPr>
        <w:t>abgezogen</w:t>
      </w:r>
      <w:r w:rsidR="00D20326" w:rsidRPr="009D18B9">
        <w:rPr>
          <w:rFonts w:asciiTheme="minorHAnsi" w:hAnsiTheme="minorHAnsi" w:cstheme="minorHAnsi"/>
          <w:b/>
        </w:rPr>
        <w:t>.</w:t>
      </w:r>
    </w:p>
    <w:p w14:paraId="1C7213C8" w14:textId="77777777" w:rsidR="00D20326" w:rsidRPr="00ED4196" w:rsidRDefault="00D20326" w:rsidP="00D20326">
      <w:pPr>
        <w:jc w:val="both"/>
        <w:rPr>
          <w:rFonts w:asciiTheme="minorHAnsi" w:hAnsiTheme="minorHAnsi" w:cstheme="minorHAnsi"/>
        </w:rPr>
      </w:pPr>
    </w:p>
    <w:p w14:paraId="5F6DA723" w14:textId="77777777" w:rsidR="00D20326" w:rsidRPr="00ED4196" w:rsidRDefault="00D20326" w:rsidP="00D20326">
      <w:pPr>
        <w:jc w:val="both"/>
        <w:rPr>
          <w:rFonts w:asciiTheme="minorHAnsi" w:hAnsiTheme="minorHAnsi" w:cstheme="minorHAnsi"/>
          <w:b/>
          <w:u w:val="single"/>
        </w:rPr>
      </w:pPr>
      <w:r w:rsidRPr="00ED4196">
        <w:rPr>
          <w:rFonts w:asciiTheme="minorHAnsi" w:hAnsiTheme="minorHAnsi" w:cstheme="minorHAnsi"/>
          <w:b/>
          <w:u w:val="single"/>
        </w:rPr>
        <w:t>Bequem und umweltgerecht sammeln</w:t>
      </w:r>
    </w:p>
    <w:p w14:paraId="0CB1CE7F" w14:textId="6855BBE1" w:rsidR="00D20326" w:rsidRPr="00ED4196" w:rsidRDefault="00D20326" w:rsidP="00D20326">
      <w:pPr>
        <w:jc w:val="both"/>
        <w:rPr>
          <w:rFonts w:asciiTheme="minorHAnsi" w:hAnsiTheme="minorHAnsi" w:cstheme="minorHAnsi"/>
          <w:color w:val="000000"/>
        </w:rPr>
      </w:pPr>
      <w:r w:rsidRPr="004E1F94">
        <w:rPr>
          <w:rFonts w:asciiTheme="minorHAnsi" w:hAnsiTheme="minorHAnsi" w:cstheme="minorHAnsi"/>
          <w:color w:val="000000"/>
        </w:rPr>
        <w:t xml:space="preserve">Für </w:t>
      </w:r>
      <w:r w:rsidR="004E1F94">
        <w:rPr>
          <w:rFonts w:asciiTheme="minorHAnsi" w:hAnsiTheme="minorHAnsi" w:cstheme="minorHAnsi"/>
          <w:color w:val="000000"/>
        </w:rPr>
        <w:t>die</w:t>
      </w:r>
      <w:r w:rsidR="00BC3956">
        <w:rPr>
          <w:rFonts w:asciiTheme="minorHAnsi" w:hAnsiTheme="minorHAnsi" w:cstheme="minorHAnsi"/>
          <w:color w:val="000000"/>
        </w:rPr>
        <w:t xml:space="preserve"> Taxenbacher</w:t>
      </w:r>
      <w:r w:rsidR="004E1F94" w:rsidRPr="004E1F94">
        <w:rPr>
          <w:rFonts w:asciiTheme="minorHAnsi" w:hAnsiTheme="minorHAnsi" w:cstheme="minorHAnsi"/>
        </w:rPr>
        <w:t xml:space="preserve"> </w:t>
      </w:r>
      <w:r w:rsidR="00ED4196">
        <w:rPr>
          <w:rFonts w:asciiTheme="minorHAnsi" w:hAnsiTheme="minorHAnsi" w:cstheme="minorHAnsi"/>
          <w:color w:val="000000"/>
        </w:rPr>
        <w:t>Bevölkerung</w:t>
      </w:r>
      <w:r w:rsidRPr="00ED4196">
        <w:rPr>
          <w:rFonts w:asciiTheme="minorHAnsi" w:hAnsiTheme="minorHAnsi" w:cstheme="minorHAnsi"/>
          <w:color w:val="000000"/>
        </w:rPr>
        <w:t xml:space="preserve"> wird die </w:t>
      </w:r>
      <w:r w:rsidR="00C4298F">
        <w:rPr>
          <w:rFonts w:asciiTheme="minorHAnsi" w:hAnsiTheme="minorHAnsi" w:cstheme="minorHAnsi"/>
          <w:color w:val="000000"/>
        </w:rPr>
        <w:t>Abfall</w:t>
      </w:r>
      <w:r w:rsidRPr="00ED4196">
        <w:rPr>
          <w:rFonts w:asciiTheme="minorHAnsi" w:hAnsiTheme="minorHAnsi" w:cstheme="minorHAnsi"/>
          <w:color w:val="000000"/>
        </w:rPr>
        <w:t xml:space="preserve">trennung jetzt noch einfacher: Sie sammeln ihre Metallverpackungen in Zukunft bequem gemeinsam mit Leichtverpackungen in der Gelben Tonne oder im Gelben Sack. Moderne Sortiertechnik macht es möglich, dass die Metallverpackungen </w:t>
      </w:r>
      <w:r w:rsidRPr="00ED4196">
        <w:rPr>
          <w:rFonts w:asciiTheme="minorHAnsi" w:hAnsiTheme="minorHAnsi" w:cstheme="minorHAnsi"/>
        </w:rPr>
        <w:t>vollständig von den Kunststoffverpackungen getrennt werden.</w:t>
      </w:r>
    </w:p>
    <w:p w14:paraId="1C4B9D61" w14:textId="7A36C3C7" w:rsidR="00D20326" w:rsidRPr="00ED4196" w:rsidRDefault="00D20326" w:rsidP="00D20326">
      <w:pPr>
        <w:jc w:val="both"/>
        <w:rPr>
          <w:rFonts w:asciiTheme="minorHAnsi" w:hAnsiTheme="minorHAnsi" w:cstheme="minorHAnsi"/>
          <w:color w:val="000000"/>
        </w:rPr>
      </w:pPr>
    </w:p>
    <w:p w14:paraId="1BE15168" w14:textId="77777777" w:rsidR="00D20326" w:rsidRPr="00ED4196" w:rsidRDefault="00D20326" w:rsidP="00D20326">
      <w:pPr>
        <w:jc w:val="both"/>
        <w:rPr>
          <w:rFonts w:asciiTheme="minorHAnsi" w:hAnsiTheme="minorHAnsi" w:cstheme="minorHAnsi"/>
          <w:color w:val="000000"/>
        </w:rPr>
      </w:pPr>
      <w:r w:rsidRPr="00ED4196">
        <w:rPr>
          <w:rFonts w:asciiTheme="minorHAnsi" w:hAnsiTheme="minorHAnsi" w:cstheme="minorHAnsi"/>
          <w:color w:val="000000"/>
        </w:rPr>
        <w:t>Am umweltgerechten Recycling ändert sich durch die Umstellung nichts, die gesammelten Metallverpackungen werden weiterhin als wertvoller Rohstoff für die Produktion neuer Verpackungen und anderer Produkte wie Autoteile oder Eisenbahnschienen eingesetzt.</w:t>
      </w:r>
    </w:p>
    <w:p w14:paraId="2DFCBAFB" w14:textId="77777777" w:rsidR="00D20326" w:rsidRPr="00ED4196" w:rsidRDefault="00D20326" w:rsidP="00D20326">
      <w:pPr>
        <w:jc w:val="both"/>
        <w:rPr>
          <w:rFonts w:asciiTheme="minorHAnsi" w:hAnsiTheme="minorHAnsi" w:cstheme="minorHAnsi"/>
          <w:color w:val="000000"/>
        </w:rPr>
      </w:pPr>
      <w:r w:rsidRPr="00ED4196">
        <w:rPr>
          <w:rFonts w:asciiTheme="minorHAnsi" w:hAnsiTheme="minorHAnsi" w:cstheme="minorHAnsi"/>
          <w:color w:val="000000"/>
        </w:rPr>
        <w:t xml:space="preserve"> </w:t>
      </w:r>
    </w:p>
    <w:p w14:paraId="539DEB80" w14:textId="77777777" w:rsidR="00D20326" w:rsidRPr="00ED4196" w:rsidRDefault="00D20326" w:rsidP="00D20326">
      <w:pPr>
        <w:jc w:val="both"/>
        <w:rPr>
          <w:rFonts w:asciiTheme="minorHAnsi" w:hAnsiTheme="minorHAnsi" w:cstheme="minorHAnsi"/>
          <w:b/>
          <w:u w:val="single"/>
        </w:rPr>
      </w:pPr>
      <w:r w:rsidRPr="00ED4196">
        <w:rPr>
          <w:rFonts w:asciiTheme="minorHAnsi" w:hAnsiTheme="minorHAnsi" w:cstheme="minorHAnsi"/>
          <w:b/>
          <w:u w:val="single"/>
        </w:rPr>
        <w:t xml:space="preserve">WAS SIND IHRE VORTEILE? </w:t>
      </w:r>
    </w:p>
    <w:p w14:paraId="6C606FCE" w14:textId="2A8B83A2" w:rsidR="00D20326" w:rsidRPr="00ED4196" w:rsidRDefault="00D20326" w:rsidP="00D20326">
      <w:pPr>
        <w:pStyle w:val="Listenabsatz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de-AT"/>
        </w:rPr>
      </w:pPr>
      <w:r w:rsidRPr="00ED4196">
        <w:rPr>
          <w:rFonts w:eastAsia="Times New Roman" w:cstheme="minorHAnsi"/>
          <w:color w:val="000000"/>
          <w:lang w:eastAsia="de-AT"/>
        </w:rPr>
        <w:t xml:space="preserve">Sie müssen nicht mehr zu </w:t>
      </w:r>
      <w:r w:rsidR="00ED4196">
        <w:rPr>
          <w:rFonts w:eastAsia="Times New Roman" w:cstheme="minorHAnsi"/>
          <w:color w:val="000000"/>
          <w:lang w:eastAsia="de-AT"/>
        </w:rPr>
        <w:t xml:space="preserve">den </w:t>
      </w:r>
      <w:r w:rsidRPr="00ED4196">
        <w:rPr>
          <w:rFonts w:eastAsia="Times New Roman" w:cstheme="minorHAnsi"/>
          <w:color w:val="000000"/>
          <w:lang w:eastAsia="de-AT"/>
        </w:rPr>
        <w:t>Sammelcontainern gehen, um Metallverpackungen separat zu entsorgen</w:t>
      </w:r>
    </w:p>
    <w:p w14:paraId="4AAE17AA" w14:textId="77777777" w:rsidR="00D20326" w:rsidRPr="00ED4196" w:rsidRDefault="00D20326" w:rsidP="00D20326">
      <w:pPr>
        <w:pStyle w:val="Listenabsatz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de-AT"/>
        </w:rPr>
      </w:pPr>
      <w:r w:rsidRPr="00ED4196">
        <w:rPr>
          <w:rFonts w:eastAsia="Times New Roman" w:cstheme="minorHAnsi"/>
          <w:color w:val="000000"/>
          <w:lang w:eastAsia="de-AT"/>
        </w:rPr>
        <w:t>Sie tragen dazu bei, dass mehr Metallverpackungen recycelt werden und sparen dadurch wertvolle Ressourcen</w:t>
      </w:r>
    </w:p>
    <w:p w14:paraId="13CEA8E8" w14:textId="77777777" w:rsidR="00D20326" w:rsidRPr="00ED4196" w:rsidRDefault="00D20326" w:rsidP="00D20326">
      <w:pPr>
        <w:pStyle w:val="Listenabsatz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de-AT"/>
        </w:rPr>
      </w:pPr>
      <w:r w:rsidRPr="00ED4196">
        <w:rPr>
          <w:rFonts w:eastAsia="Times New Roman" w:cstheme="minorHAnsi"/>
          <w:color w:val="000000"/>
          <w:lang w:eastAsia="de-AT"/>
        </w:rPr>
        <w:t>Die Abholfrequenz wird kürzer</w:t>
      </w:r>
    </w:p>
    <w:p w14:paraId="7A327F14" w14:textId="4ED033DA" w:rsidR="00D20326" w:rsidRPr="00ED4196" w:rsidRDefault="0017452F" w:rsidP="00D20326">
      <w:pPr>
        <w:pStyle w:val="Listenabsatz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de-AT"/>
        </w:rPr>
      </w:pPr>
      <w:r w:rsidRPr="00ED4196">
        <w:rPr>
          <w:rFonts w:eastAsia="Times New Roman" w:cstheme="minorHAnsi"/>
          <w:color w:val="000000"/>
          <w:lang w:eastAsia="de-AT"/>
        </w:rPr>
        <w:t>Die Vorsammelgebinde zu Hause werden weniger</w:t>
      </w:r>
    </w:p>
    <w:p w14:paraId="7E42284F" w14:textId="77777777" w:rsidR="00D20326" w:rsidRPr="00ED4196" w:rsidRDefault="00D20326" w:rsidP="00D20326">
      <w:pPr>
        <w:jc w:val="both"/>
        <w:rPr>
          <w:rFonts w:asciiTheme="minorHAnsi" w:hAnsiTheme="minorHAnsi" w:cstheme="minorHAnsi"/>
          <w:color w:val="000000"/>
          <w:lang w:eastAsia="de-AT"/>
        </w:rPr>
      </w:pPr>
    </w:p>
    <w:p w14:paraId="4B115D41" w14:textId="4B5E7346" w:rsidR="00D20326" w:rsidRPr="00ED4196" w:rsidRDefault="00D20326" w:rsidP="00D20326">
      <w:pPr>
        <w:jc w:val="both"/>
        <w:rPr>
          <w:rFonts w:asciiTheme="minorHAnsi" w:hAnsiTheme="minorHAnsi" w:cstheme="minorHAnsi"/>
          <w:color w:val="000000"/>
          <w:lang w:eastAsia="de-AT"/>
        </w:rPr>
      </w:pPr>
      <w:r w:rsidRPr="00ED4196">
        <w:rPr>
          <w:rFonts w:asciiTheme="minorHAnsi" w:hAnsiTheme="minorHAnsi" w:cstheme="minorHAnsi"/>
          <w:color w:val="000000"/>
          <w:lang w:eastAsia="de-AT"/>
        </w:rPr>
        <w:t xml:space="preserve">Alles, was Sie zur Umstellung wissen müssen sowie den aktuellen Abfuhrplan </w:t>
      </w:r>
      <w:r w:rsidR="00C4298F">
        <w:rPr>
          <w:rFonts w:asciiTheme="minorHAnsi" w:hAnsiTheme="minorHAnsi" w:cstheme="minorHAnsi"/>
          <w:color w:val="000000"/>
          <w:lang w:eastAsia="de-AT"/>
        </w:rPr>
        <w:t>erfahren</w:t>
      </w:r>
      <w:r w:rsidRPr="00ED4196">
        <w:rPr>
          <w:rFonts w:asciiTheme="minorHAnsi" w:hAnsiTheme="minorHAnsi" w:cstheme="minorHAnsi"/>
          <w:color w:val="000000"/>
          <w:lang w:eastAsia="de-AT"/>
        </w:rPr>
        <w:t xml:space="preserve"> Sie wie gewohnt </w:t>
      </w:r>
      <w:r w:rsidR="009D18B9">
        <w:rPr>
          <w:rFonts w:asciiTheme="minorHAnsi" w:hAnsiTheme="minorHAnsi" w:cstheme="minorHAnsi"/>
          <w:color w:val="000000"/>
          <w:lang w:eastAsia="de-AT"/>
        </w:rPr>
        <w:t>auf Rückfrage in ihrer Gemeinde</w:t>
      </w:r>
      <w:r w:rsidRPr="009D18B9">
        <w:rPr>
          <w:rFonts w:asciiTheme="minorHAnsi" w:hAnsiTheme="minorHAnsi" w:cstheme="minorHAnsi"/>
          <w:color w:val="000000"/>
          <w:lang w:eastAsia="de-AT"/>
        </w:rPr>
        <w:t>!</w:t>
      </w:r>
    </w:p>
    <w:p w14:paraId="51F43265" w14:textId="44FA81C2" w:rsidR="00870931" w:rsidRDefault="00870931" w:rsidP="006E4F45">
      <w:pPr>
        <w:pStyle w:val="Kopfzeile"/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0E611E2A" w14:textId="6528C47F" w:rsidR="00870931" w:rsidRPr="001533D6" w:rsidRDefault="00870931" w:rsidP="00870931">
      <w:pPr>
        <w:pStyle w:val="Kopfzeile"/>
        <w:pBdr>
          <w:top w:val="single" w:sz="4" w:space="1" w:color="auto"/>
        </w:pBdr>
        <w:jc w:val="center"/>
        <w:rPr>
          <w:rFonts w:asciiTheme="minorHAnsi" w:hAnsiTheme="minorHAnsi" w:cstheme="minorHAnsi"/>
          <w:color w:val="0070C0"/>
          <w:sz w:val="16"/>
          <w:szCs w:val="16"/>
        </w:rPr>
      </w:pPr>
    </w:p>
    <w:sectPr w:rsidR="00870931" w:rsidRPr="001533D6" w:rsidSect="00D20326">
      <w:type w:val="continuous"/>
      <w:pgSz w:w="11906" w:h="16838" w:code="9"/>
      <w:pgMar w:top="993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98D" w14:textId="77777777" w:rsidR="00582784" w:rsidRDefault="00582784">
      <w:r>
        <w:separator/>
      </w:r>
    </w:p>
  </w:endnote>
  <w:endnote w:type="continuationSeparator" w:id="0">
    <w:p w14:paraId="6AE6C3D4" w14:textId="77777777" w:rsidR="00582784" w:rsidRDefault="0058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0656" w14:textId="77777777" w:rsidR="00582784" w:rsidRDefault="00582784">
      <w:r>
        <w:separator/>
      </w:r>
    </w:p>
  </w:footnote>
  <w:footnote w:type="continuationSeparator" w:id="0">
    <w:p w14:paraId="17BB0BA4" w14:textId="77777777" w:rsidR="00582784" w:rsidRDefault="0058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1F9"/>
    <w:multiLevelType w:val="hybridMultilevel"/>
    <w:tmpl w:val="B91E3C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522"/>
    <w:multiLevelType w:val="hybridMultilevel"/>
    <w:tmpl w:val="FA74DDA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7F63"/>
    <w:multiLevelType w:val="hybridMultilevel"/>
    <w:tmpl w:val="A8903562"/>
    <w:lvl w:ilvl="0" w:tplc="27A076BC">
      <w:numFmt w:val="bullet"/>
      <w:lvlText w:val="•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7A30D0"/>
    <w:multiLevelType w:val="hybridMultilevel"/>
    <w:tmpl w:val="D090BA4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785B"/>
    <w:multiLevelType w:val="hybridMultilevel"/>
    <w:tmpl w:val="112AF2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4449"/>
    <w:multiLevelType w:val="hybridMultilevel"/>
    <w:tmpl w:val="CB924A22"/>
    <w:lvl w:ilvl="0" w:tplc="0F322F7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3610E"/>
    <w:multiLevelType w:val="hybridMultilevel"/>
    <w:tmpl w:val="5E3448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3D2F"/>
    <w:multiLevelType w:val="hybridMultilevel"/>
    <w:tmpl w:val="CFF6AEF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077B"/>
    <w:multiLevelType w:val="hybridMultilevel"/>
    <w:tmpl w:val="6FCA0D3E"/>
    <w:lvl w:ilvl="0" w:tplc="846CB06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577A5"/>
    <w:multiLevelType w:val="hybridMultilevel"/>
    <w:tmpl w:val="97CC05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4740A"/>
    <w:multiLevelType w:val="hybridMultilevel"/>
    <w:tmpl w:val="FF342AF6"/>
    <w:lvl w:ilvl="0" w:tplc="D73480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7A87"/>
    <w:multiLevelType w:val="hybridMultilevel"/>
    <w:tmpl w:val="A6D0E2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C18CD"/>
    <w:multiLevelType w:val="hybridMultilevel"/>
    <w:tmpl w:val="496AB5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0657B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DC8511C"/>
    <w:multiLevelType w:val="hybridMultilevel"/>
    <w:tmpl w:val="5776DB52"/>
    <w:lvl w:ilvl="0" w:tplc="F7CA9D1A">
      <w:start w:val="1"/>
      <w:numFmt w:val="bullet"/>
      <w:lvlText w:val="­"/>
      <w:lvlJc w:val="left"/>
      <w:pPr>
        <w:ind w:left="53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7D2C54A1"/>
    <w:multiLevelType w:val="hybridMultilevel"/>
    <w:tmpl w:val="F85A4A84"/>
    <w:lvl w:ilvl="0" w:tplc="4B3A67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u w:val="thick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558256">
    <w:abstractNumId w:val="15"/>
  </w:num>
  <w:num w:numId="2" w16cid:durableId="1889801488">
    <w:abstractNumId w:val="5"/>
  </w:num>
  <w:num w:numId="3" w16cid:durableId="1100103758">
    <w:abstractNumId w:val="8"/>
  </w:num>
  <w:num w:numId="4" w16cid:durableId="1574313188">
    <w:abstractNumId w:val="0"/>
  </w:num>
  <w:num w:numId="5" w16cid:durableId="545071436">
    <w:abstractNumId w:val="9"/>
  </w:num>
  <w:num w:numId="6" w16cid:durableId="308562226">
    <w:abstractNumId w:val="12"/>
  </w:num>
  <w:num w:numId="7" w16cid:durableId="169369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770034">
    <w:abstractNumId w:val="13"/>
  </w:num>
  <w:num w:numId="9" w16cid:durableId="428936455">
    <w:abstractNumId w:val="7"/>
  </w:num>
  <w:num w:numId="10" w16cid:durableId="225921118">
    <w:abstractNumId w:val="4"/>
  </w:num>
  <w:num w:numId="11" w16cid:durableId="24214680">
    <w:abstractNumId w:val="1"/>
  </w:num>
  <w:num w:numId="12" w16cid:durableId="512575340">
    <w:abstractNumId w:val="6"/>
  </w:num>
  <w:num w:numId="13" w16cid:durableId="514736982">
    <w:abstractNumId w:val="11"/>
  </w:num>
  <w:num w:numId="14" w16cid:durableId="1791632993">
    <w:abstractNumId w:val="3"/>
  </w:num>
  <w:num w:numId="15" w16cid:durableId="450518812">
    <w:abstractNumId w:val="2"/>
  </w:num>
  <w:num w:numId="16" w16cid:durableId="114181757">
    <w:abstractNumId w:val="14"/>
  </w:num>
  <w:num w:numId="17" w16cid:durableId="1625774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8C"/>
    <w:rsid w:val="00003ADF"/>
    <w:rsid w:val="00013A5D"/>
    <w:rsid w:val="00013E14"/>
    <w:rsid w:val="0004479B"/>
    <w:rsid w:val="00045482"/>
    <w:rsid w:val="000560F4"/>
    <w:rsid w:val="00064292"/>
    <w:rsid w:val="000716E0"/>
    <w:rsid w:val="000728C5"/>
    <w:rsid w:val="000A545F"/>
    <w:rsid w:val="000A6C4B"/>
    <w:rsid w:val="000B0F14"/>
    <w:rsid w:val="000D4BE5"/>
    <w:rsid w:val="000E2483"/>
    <w:rsid w:val="000F442E"/>
    <w:rsid w:val="00102D10"/>
    <w:rsid w:val="00116FA9"/>
    <w:rsid w:val="00122CFE"/>
    <w:rsid w:val="001255FE"/>
    <w:rsid w:val="00133193"/>
    <w:rsid w:val="00140C6B"/>
    <w:rsid w:val="00147FE2"/>
    <w:rsid w:val="001533D6"/>
    <w:rsid w:val="00155B03"/>
    <w:rsid w:val="001734F7"/>
    <w:rsid w:val="0017452F"/>
    <w:rsid w:val="00186113"/>
    <w:rsid w:val="0019359F"/>
    <w:rsid w:val="00194403"/>
    <w:rsid w:val="001A339E"/>
    <w:rsid w:val="001D028A"/>
    <w:rsid w:val="001D06B6"/>
    <w:rsid w:val="001D1261"/>
    <w:rsid w:val="001D2B99"/>
    <w:rsid w:val="001D31A5"/>
    <w:rsid w:val="001D3C45"/>
    <w:rsid w:val="001F6D45"/>
    <w:rsid w:val="00211E84"/>
    <w:rsid w:val="00215ECF"/>
    <w:rsid w:val="0021605B"/>
    <w:rsid w:val="0021609C"/>
    <w:rsid w:val="00220FBE"/>
    <w:rsid w:val="00222E06"/>
    <w:rsid w:val="0024710A"/>
    <w:rsid w:val="0025370F"/>
    <w:rsid w:val="00261929"/>
    <w:rsid w:val="0027048A"/>
    <w:rsid w:val="0027198E"/>
    <w:rsid w:val="00275C4F"/>
    <w:rsid w:val="00277EB2"/>
    <w:rsid w:val="0028421A"/>
    <w:rsid w:val="00291570"/>
    <w:rsid w:val="00294D1B"/>
    <w:rsid w:val="002A7147"/>
    <w:rsid w:val="002B5F4D"/>
    <w:rsid w:val="002B6284"/>
    <w:rsid w:val="002D4E57"/>
    <w:rsid w:val="002D78EF"/>
    <w:rsid w:val="002D7F21"/>
    <w:rsid w:val="002F29E4"/>
    <w:rsid w:val="002F4819"/>
    <w:rsid w:val="003040D1"/>
    <w:rsid w:val="00327F1B"/>
    <w:rsid w:val="003618A2"/>
    <w:rsid w:val="00385785"/>
    <w:rsid w:val="00393239"/>
    <w:rsid w:val="003A0CCE"/>
    <w:rsid w:val="003A0EEF"/>
    <w:rsid w:val="003A1968"/>
    <w:rsid w:val="003A4EFF"/>
    <w:rsid w:val="003B568C"/>
    <w:rsid w:val="003B5BA6"/>
    <w:rsid w:val="003C692D"/>
    <w:rsid w:val="004226E1"/>
    <w:rsid w:val="00423ADF"/>
    <w:rsid w:val="00424D4B"/>
    <w:rsid w:val="00441FED"/>
    <w:rsid w:val="004556BF"/>
    <w:rsid w:val="00463F4E"/>
    <w:rsid w:val="004C4830"/>
    <w:rsid w:val="004D1394"/>
    <w:rsid w:val="004E1F94"/>
    <w:rsid w:val="004E58E9"/>
    <w:rsid w:val="00521428"/>
    <w:rsid w:val="00527F27"/>
    <w:rsid w:val="00533499"/>
    <w:rsid w:val="0053386A"/>
    <w:rsid w:val="00542A30"/>
    <w:rsid w:val="00544F42"/>
    <w:rsid w:val="0054602F"/>
    <w:rsid w:val="00546EB3"/>
    <w:rsid w:val="00550986"/>
    <w:rsid w:val="00582784"/>
    <w:rsid w:val="00582894"/>
    <w:rsid w:val="005853F9"/>
    <w:rsid w:val="005A08CE"/>
    <w:rsid w:val="005A2FC3"/>
    <w:rsid w:val="005A47CF"/>
    <w:rsid w:val="005A7F62"/>
    <w:rsid w:val="005B614B"/>
    <w:rsid w:val="005C3E9E"/>
    <w:rsid w:val="005D7125"/>
    <w:rsid w:val="005F03F8"/>
    <w:rsid w:val="005F1000"/>
    <w:rsid w:val="005F4876"/>
    <w:rsid w:val="0060346A"/>
    <w:rsid w:val="0061049F"/>
    <w:rsid w:val="0066325B"/>
    <w:rsid w:val="00680DDF"/>
    <w:rsid w:val="00681057"/>
    <w:rsid w:val="00681ED8"/>
    <w:rsid w:val="00694487"/>
    <w:rsid w:val="006A7960"/>
    <w:rsid w:val="006C3E91"/>
    <w:rsid w:val="006E037A"/>
    <w:rsid w:val="006E0DA8"/>
    <w:rsid w:val="006E204F"/>
    <w:rsid w:val="006E3231"/>
    <w:rsid w:val="006E357B"/>
    <w:rsid w:val="006E4F45"/>
    <w:rsid w:val="006E61AB"/>
    <w:rsid w:val="006F28E0"/>
    <w:rsid w:val="006F7252"/>
    <w:rsid w:val="00701F72"/>
    <w:rsid w:val="00705B0E"/>
    <w:rsid w:val="00706111"/>
    <w:rsid w:val="00727AA7"/>
    <w:rsid w:val="007366D6"/>
    <w:rsid w:val="00741B05"/>
    <w:rsid w:val="00777296"/>
    <w:rsid w:val="00782CCB"/>
    <w:rsid w:val="00796E38"/>
    <w:rsid w:val="007A621B"/>
    <w:rsid w:val="007A739C"/>
    <w:rsid w:val="007B5EAF"/>
    <w:rsid w:val="007C2B2B"/>
    <w:rsid w:val="007D64E7"/>
    <w:rsid w:val="007E0AC4"/>
    <w:rsid w:val="007E667E"/>
    <w:rsid w:val="008026C1"/>
    <w:rsid w:val="00802858"/>
    <w:rsid w:val="00803896"/>
    <w:rsid w:val="008113F2"/>
    <w:rsid w:val="00853247"/>
    <w:rsid w:val="00853A7D"/>
    <w:rsid w:val="00856CB6"/>
    <w:rsid w:val="00865FF1"/>
    <w:rsid w:val="00870931"/>
    <w:rsid w:val="008862F5"/>
    <w:rsid w:val="00890B19"/>
    <w:rsid w:val="008A756B"/>
    <w:rsid w:val="008C7BFF"/>
    <w:rsid w:val="008D7B11"/>
    <w:rsid w:val="008E68FC"/>
    <w:rsid w:val="008F599E"/>
    <w:rsid w:val="00901646"/>
    <w:rsid w:val="00952095"/>
    <w:rsid w:val="0096341B"/>
    <w:rsid w:val="00964CD1"/>
    <w:rsid w:val="00983879"/>
    <w:rsid w:val="0099688F"/>
    <w:rsid w:val="009A1A94"/>
    <w:rsid w:val="009C261E"/>
    <w:rsid w:val="009D18B9"/>
    <w:rsid w:val="009D39A7"/>
    <w:rsid w:val="009D7C0F"/>
    <w:rsid w:val="009E48C6"/>
    <w:rsid w:val="009F00AD"/>
    <w:rsid w:val="00A052FC"/>
    <w:rsid w:val="00A2189C"/>
    <w:rsid w:val="00A4044B"/>
    <w:rsid w:val="00A44BF3"/>
    <w:rsid w:val="00A46592"/>
    <w:rsid w:val="00A630FF"/>
    <w:rsid w:val="00A671DA"/>
    <w:rsid w:val="00A716BD"/>
    <w:rsid w:val="00A92DFD"/>
    <w:rsid w:val="00AB1B29"/>
    <w:rsid w:val="00AE38D6"/>
    <w:rsid w:val="00B054E4"/>
    <w:rsid w:val="00B404AB"/>
    <w:rsid w:val="00B42451"/>
    <w:rsid w:val="00B44B62"/>
    <w:rsid w:val="00B567E0"/>
    <w:rsid w:val="00B75B76"/>
    <w:rsid w:val="00B86576"/>
    <w:rsid w:val="00B94D72"/>
    <w:rsid w:val="00BA6F39"/>
    <w:rsid w:val="00BB63A9"/>
    <w:rsid w:val="00BC3956"/>
    <w:rsid w:val="00BD35CD"/>
    <w:rsid w:val="00BF38B8"/>
    <w:rsid w:val="00C03C95"/>
    <w:rsid w:val="00C157F8"/>
    <w:rsid w:val="00C2335E"/>
    <w:rsid w:val="00C27AFE"/>
    <w:rsid w:val="00C30F5D"/>
    <w:rsid w:val="00C31F6D"/>
    <w:rsid w:val="00C32BEB"/>
    <w:rsid w:val="00C35389"/>
    <w:rsid w:val="00C36127"/>
    <w:rsid w:val="00C364D1"/>
    <w:rsid w:val="00C4298F"/>
    <w:rsid w:val="00C43119"/>
    <w:rsid w:val="00C435D7"/>
    <w:rsid w:val="00C501C6"/>
    <w:rsid w:val="00C6610C"/>
    <w:rsid w:val="00C67E3E"/>
    <w:rsid w:val="00C75824"/>
    <w:rsid w:val="00C84DA5"/>
    <w:rsid w:val="00CA4B0A"/>
    <w:rsid w:val="00CA4DFF"/>
    <w:rsid w:val="00CB7D43"/>
    <w:rsid w:val="00CD43B4"/>
    <w:rsid w:val="00CD6E43"/>
    <w:rsid w:val="00CE35C3"/>
    <w:rsid w:val="00CE407A"/>
    <w:rsid w:val="00CE7FA6"/>
    <w:rsid w:val="00CF0C74"/>
    <w:rsid w:val="00D01DF9"/>
    <w:rsid w:val="00D0292F"/>
    <w:rsid w:val="00D20326"/>
    <w:rsid w:val="00D745C2"/>
    <w:rsid w:val="00D7783B"/>
    <w:rsid w:val="00D870A1"/>
    <w:rsid w:val="00DA1F23"/>
    <w:rsid w:val="00DA324C"/>
    <w:rsid w:val="00DA6584"/>
    <w:rsid w:val="00DB42B6"/>
    <w:rsid w:val="00DC63B8"/>
    <w:rsid w:val="00DD0F26"/>
    <w:rsid w:val="00DE06D6"/>
    <w:rsid w:val="00DE1F66"/>
    <w:rsid w:val="00DE341B"/>
    <w:rsid w:val="00DF554C"/>
    <w:rsid w:val="00E24906"/>
    <w:rsid w:val="00E253D9"/>
    <w:rsid w:val="00E554E4"/>
    <w:rsid w:val="00E57D4B"/>
    <w:rsid w:val="00E65009"/>
    <w:rsid w:val="00E8402C"/>
    <w:rsid w:val="00E94C60"/>
    <w:rsid w:val="00EB2AFE"/>
    <w:rsid w:val="00EC54E2"/>
    <w:rsid w:val="00ED4196"/>
    <w:rsid w:val="00EF7A4F"/>
    <w:rsid w:val="00F025D6"/>
    <w:rsid w:val="00F02CBB"/>
    <w:rsid w:val="00F06D24"/>
    <w:rsid w:val="00F20B68"/>
    <w:rsid w:val="00F240EB"/>
    <w:rsid w:val="00F435A9"/>
    <w:rsid w:val="00F57B10"/>
    <w:rsid w:val="00F676EA"/>
    <w:rsid w:val="00F73E84"/>
    <w:rsid w:val="00F75FE8"/>
    <w:rsid w:val="00F773BE"/>
    <w:rsid w:val="00F86B31"/>
    <w:rsid w:val="00FA0D04"/>
    <w:rsid w:val="00FA3C85"/>
    <w:rsid w:val="00FA4A29"/>
    <w:rsid w:val="00FA5492"/>
    <w:rsid w:val="00FC60ED"/>
    <w:rsid w:val="00FC7590"/>
    <w:rsid w:val="00FD6580"/>
    <w:rsid w:val="00FD6CAB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A2489"/>
  <w15:docId w15:val="{598DA739-B64B-4246-AD4F-0985F41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w="2890" w:hSpace="141" w:wrap="around" w:vAnchor="page" w:hAnchor="page" w:x="8717" w:y="1691" w:anchorLock="1"/>
      <w:jc w:val="both"/>
    </w:pPr>
    <w:rPr>
      <w:sz w:val="18"/>
    </w:rPr>
  </w:style>
  <w:style w:type="character" w:styleId="Hyperlink">
    <w:name w:val="Hyperlink"/>
    <w:basedOn w:val="Absatz-Standardschriftart"/>
    <w:rsid w:val="00706111"/>
    <w:rPr>
      <w:color w:val="0000FF"/>
      <w:u w:val="single"/>
    </w:rPr>
  </w:style>
  <w:style w:type="paragraph" w:styleId="Sprechblasentext">
    <w:name w:val="Balloon Text"/>
    <w:basedOn w:val="Standard"/>
    <w:semiHidden/>
    <w:rsid w:val="006E204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4C4830"/>
    <w:rPr>
      <w:b/>
      <w:bCs/>
    </w:rPr>
  </w:style>
  <w:style w:type="paragraph" w:styleId="Listenabsatz">
    <w:name w:val="List Paragraph"/>
    <w:basedOn w:val="Standard"/>
    <w:uiPriority w:val="34"/>
    <w:qFormat/>
    <w:rsid w:val="00B94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AT" w:eastAsia="en-US"/>
    </w:rPr>
  </w:style>
  <w:style w:type="table" w:styleId="Tabellenraster">
    <w:name w:val="Table Grid"/>
    <w:basedOn w:val="NormaleTabelle"/>
    <w:rsid w:val="001A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87093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FBE7-D216-49ED-B712-71922833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>RV-Flachgau-Nord</Company>
  <LinksUpToDate>false</LinksUpToDate>
  <CharactersWithSpaces>1493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mailto:office@flachgau-nord.at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http://www.flachgau-nord.at/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creator>Umweltberatung</dc:creator>
  <cp:lastModifiedBy>Embacher Theresa</cp:lastModifiedBy>
  <cp:revision>2</cp:revision>
  <cp:lastPrinted>2022-10-11T12:55:00Z</cp:lastPrinted>
  <dcterms:created xsi:type="dcterms:W3CDTF">2022-10-21T08:59:00Z</dcterms:created>
  <dcterms:modified xsi:type="dcterms:W3CDTF">2022-10-21T08:59:00Z</dcterms:modified>
</cp:coreProperties>
</file>